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right"/>
      </w:pPr>
      <w:r>
        <w:rPr>
          <w:rtl w:val="0"/>
          <w:lang w:val="ru-RU"/>
        </w:rPr>
        <w:t xml:space="preserve">                                                                                     УТВЕРЖДАЮ</w:t>
      </w:r>
    </w:p>
    <w:p>
      <w:pPr>
        <w:pStyle w:val="Normal.0"/>
        <w:spacing w:after="0"/>
        <w:jc w:val="right"/>
      </w:pPr>
      <w:r>
        <w:rPr>
          <w:rtl w:val="0"/>
          <w:lang w:val="ru-RU"/>
        </w:rPr>
        <w:t xml:space="preserve">Директор ООО «Студия </w:t>
      </w:r>
      <w:r>
        <w:rPr>
          <w:rtl w:val="0"/>
          <w:lang w:val="ru-RU"/>
        </w:rPr>
        <w:t>32</w:t>
      </w:r>
      <w:r>
        <w:rPr>
          <w:rtl w:val="0"/>
          <w:lang w:val="ru-RU"/>
        </w:rPr>
        <w:t>»</w:t>
      </w:r>
    </w:p>
    <w:p>
      <w:pPr>
        <w:pStyle w:val="Normal.0"/>
        <w:spacing w:after="0"/>
        <w:jc w:val="right"/>
      </w:pPr>
      <w:r>
        <w:rPr>
          <w:rtl w:val="0"/>
          <w:lang w:val="ru-RU"/>
        </w:rPr>
        <w:t xml:space="preserve">________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Павлюкович</w:t>
      </w:r>
    </w:p>
    <w:p>
      <w:pPr>
        <w:pStyle w:val="Normal.0"/>
        <w:spacing w:after="0"/>
        <w:jc w:val="right"/>
      </w:pPr>
      <w:r>
        <w:rPr>
          <w:rtl w:val="0"/>
          <w:lang w:val="ru-RU"/>
        </w:rPr>
        <w:t>__________________ 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Normal.0"/>
        <w:jc w:val="center"/>
        <w:rPr>
          <w:lang w:val="ru-RU"/>
        </w:rPr>
      </w:pPr>
    </w:p>
    <w:p>
      <w:pPr>
        <w:pStyle w:val="Normal.0"/>
        <w:spacing w:after="0"/>
        <w:jc w:val="center"/>
        <w:rPr>
          <w:lang w:val="ru-RU"/>
        </w:rPr>
      </w:pPr>
    </w:p>
    <w:p>
      <w:pPr>
        <w:pStyle w:val="Normal.0"/>
        <w:spacing w:after="0"/>
        <w:jc w:val="center"/>
      </w:pPr>
      <w:r>
        <w:rPr>
          <w:rtl w:val="0"/>
        </w:rPr>
        <w:t xml:space="preserve">ПОЛОЖЕНИЕ </w:t>
      </w:r>
    </w:p>
    <w:p>
      <w:pPr>
        <w:pStyle w:val="Normal.0"/>
        <w:spacing w:after="0"/>
        <w:jc w:val="center"/>
      </w:pPr>
      <w:r>
        <w:rPr>
          <w:rtl w:val="0"/>
        </w:rPr>
        <w:t>О ГАРАНТИЙНЫХ СРОКАХ И СРОКАХ СЛУЖБЫ НА СТОМАТОЛОГИЧЕСКИЕ УСЛУГИ</w:t>
      </w:r>
    </w:p>
    <w:p>
      <w:pPr>
        <w:pStyle w:val="Normal.0"/>
        <w:spacing w:after="0"/>
        <w:jc w:val="center"/>
        <w:rPr>
          <w:lang w:val="ru-RU"/>
        </w:rPr>
      </w:pPr>
    </w:p>
    <w:p>
      <w:pPr>
        <w:pStyle w:val="Normal.0"/>
        <w:spacing w:after="0"/>
        <w:jc w:val="center"/>
        <w:rPr>
          <w:lang w:val="ru-RU"/>
        </w:rPr>
      </w:pP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По общему правилу на работы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услуги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по оказанию стоматологической помощи в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ru-RU"/>
        </w:rPr>
        <w:t>» устанавливаются гарантийные сроки и сроки службы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Гарантийные сроки и сроки службы на выполненные стоматологические услуги для каждого пациента устанавливаются врачом в зависимости от</w:t>
      </w:r>
      <w:r>
        <w:rPr>
          <w:sz w:val="24"/>
          <w:szCs w:val="24"/>
          <w:rtl w:val="0"/>
        </w:rPr>
        <w:t>: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клинической ситуации в полости рта пациента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наличия или отсутствия сопутствующих заболеваний пациента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которые напрямую или косвенно приводят к изменению в зубах и окружающих их тканях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полноты выполнения пациентом плана лечения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рекомендованного врачом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Гарантия выдается на лечение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которое считается законченным</w:t>
      </w:r>
      <w:r>
        <w:rPr>
          <w:sz w:val="24"/>
          <w:szCs w:val="24"/>
          <w:rtl w:val="0"/>
        </w:rPr>
        <w:t>: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при кариесе после постановки постоянной пломбы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при протезировании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</w:rPr>
        <w:t>после постоянной фиксации изготовленной конструкции или сдаче съемной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С учетом указанных обстоятельств в каждом конкретном случае гарантийные сроки и сроки службы могут быть скорректированы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уменьшены или увеличены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по сравнению со средними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 пределах сроков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установленных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фиксируется лечащим врачом в стоматологической амбулаторной карте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При обнаружении пациентом в период установленного гарантийного срока и срока службы недостатков выполненных работ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оказанных услуг</w:t>
      </w:r>
      <w:r>
        <w:rPr>
          <w:sz w:val="24"/>
          <w:szCs w:val="24"/>
          <w:rtl w:val="0"/>
        </w:rPr>
        <w:t xml:space="preserve">), </w:t>
      </w:r>
      <w:r>
        <w:rPr>
          <w:sz w:val="24"/>
          <w:szCs w:val="24"/>
          <w:rtl w:val="0"/>
          <w:lang w:val="ru-RU"/>
        </w:rPr>
        <w:t xml:space="preserve">пациент должен обратиться по телефону или лично в 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fr-FR"/>
        </w:rPr>
        <w:t>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 xml:space="preserve"> и изложив суть замечания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записаться на прием к лечащему врачу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Если врачом будет установлено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эти недостатки не связаны с нарушением пациентом предварительно сообщенных ему гарантийных условий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условий эксплуатации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они подлежат устранению путем исправления или повторного выполнения работы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оказания услуги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без дополнительной оплаты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Гарантийные обязательства выполняются при соблюдении Пациентом следующих требований</w:t>
      </w:r>
      <w:r>
        <w:rPr>
          <w:sz w:val="24"/>
          <w:szCs w:val="24"/>
          <w:rtl w:val="0"/>
        </w:rPr>
        <w:t>: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осуществления всего согласованного плана лечения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выполнения корректировки или иного дополнительного вмешательства в выполненную работу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оказанную услугу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>только в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регулярного проведения мероприятий по профессиональной гигиене полости рта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 периодичностью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указанной врачом в амбулаторной стоматологической карте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но не менее </w:t>
      </w:r>
      <w:r>
        <w:rPr>
          <w:sz w:val="24"/>
          <w:szCs w:val="24"/>
          <w:rtl w:val="0"/>
        </w:rPr>
        <w:t>2-</w:t>
      </w:r>
      <w:r>
        <w:rPr>
          <w:sz w:val="24"/>
          <w:szCs w:val="24"/>
          <w:rtl w:val="0"/>
          <w:lang w:val="ru-RU"/>
        </w:rPr>
        <w:t>х раз в год и только в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Гарантийные обязательства прекращаются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не сохраняются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при возникновении в период гарантийного срока следующих обстоятельств</w:t>
      </w:r>
      <w:r>
        <w:rPr>
          <w:sz w:val="24"/>
          <w:szCs w:val="24"/>
          <w:rtl w:val="0"/>
        </w:rPr>
        <w:t xml:space="preserve">: 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возникновения у пациента новых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развитие имеющихся заболеваний или возникновение вредных внешних воздействий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которые напрямую или косвенно приводят к изменению в зубах или окружающих тканях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 том числе длительный прием лекарств при лечении других заболеваний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беременность пациента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не проведении пациентом обязательного профилактического осмотра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проводимого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</w:rPr>
        <w:t xml:space="preserve">раз в </w:t>
      </w:r>
      <w:r>
        <w:rPr>
          <w:sz w:val="24"/>
          <w:szCs w:val="24"/>
          <w:rtl w:val="0"/>
        </w:rPr>
        <w:t xml:space="preserve">6 </w:t>
      </w:r>
      <w:r>
        <w:rPr>
          <w:sz w:val="24"/>
          <w:szCs w:val="24"/>
          <w:rtl w:val="0"/>
          <w:lang w:val="ru-RU"/>
        </w:rPr>
        <w:t>месяцев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 случае зубного тотального протезирования с опорой на стоматологических имплантах </w:t>
      </w:r>
      <w:r>
        <w:rPr>
          <w:sz w:val="24"/>
          <w:szCs w:val="24"/>
          <w:rtl w:val="0"/>
          <w:lang w:val="ru-RU"/>
        </w:rPr>
        <w:t xml:space="preserve">- 1 </w:t>
      </w:r>
      <w:r>
        <w:rPr>
          <w:sz w:val="24"/>
          <w:szCs w:val="24"/>
          <w:rtl w:val="0"/>
        </w:rPr>
        <w:t xml:space="preserve">раз в 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  <w:lang w:val="ru-RU"/>
        </w:rPr>
        <w:t>месяца</w:t>
      </w:r>
      <w:r>
        <w:rPr>
          <w:sz w:val="24"/>
          <w:szCs w:val="24"/>
          <w:rtl w:val="0"/>
          <w:lang w:val="ru-RU"/>
        </w:rPr>
        <w:t>;</w:t>
      </w:r>
      <w:r>
        <w:rPr>
          <w:sz w:val="24"/>
          <w:szCs w:val="24"/>
          <w:rtl w:val="0"/>
        </w:rPr>
        <w:t xml:space="preserve"> 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не соблюдение пациентом рекомендаций лечащего врача по уходу за ротовой полостью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результатом работы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услуги</w:t>
      </w:r>
      <w:r>
        <w:rPr>
          <w:sz w:val="24"/>
          <w:szCs w:val="24"/>
          <w:rtl w:val="0"/>
          <w:lang w:val="it-IT"/>
        </w:rPr>
        <w:t>);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не соблюдение условий эксплуатации результата работы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услуги</w:t>
      </w:r>
      <w:r>
        <w:rPr>
          <w:sz w:val="24"/>
          <w:szCs w:val="24"/>
          <w:rtl w:val="0"/>
        </w:rPr>
        <w:t xml:space="preserve">). 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ru-RU"/>
        </w:rPr>
        <w:t>» не несет гарантийных обязательств при оказании стоматологических услуг перед пациентом в следующих случаях</w:t>
      </w:r>
      <w:r>
        <w:rPr>
          <w:sz w:val="24"/>
          <w:szCs w:val="24"/>
          <w:rtl w:val="0"/>
        </w:rPr>
        <w:t xml:space="preserve">: 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проводится лечение каналов зубов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ранее подвергавшихся эндодонтическому лечению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невозможно провести или пациент отказывается от проведения диагностических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измерительных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контрольных снимков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при наличии альтернативного варианта лечения по просьбе пациента проводятся лечебные и профилактические мероприятия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не являющиеся наиболее оптимальными по мнению лечащего врача в данном случае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деструктивные формы периодонтита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невозможность перелечивания корневых каналов зуба и др</w:t>
      </w:r>
      <w:r>
        <w:rPr>
          <w:sz w:val="24"/>
          <w:szCs w:val="24"/>
          <w:rtl w:val="0"/>
        </w:rPr>
        <w:t>.)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пациент не согласен с рациональным планом протезирования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предложенным врачом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</w:rPr>
        <w:t>стоматологом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ортопедом в соответствии с расчетом выносливости периодонта опорных зубов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учитывая данные исследований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у пациента возникла аллергия или непереносимость препаратов и стоматологических материалов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разрешенных к применению на территории Республики Беларусь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устанавливается протез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не изготовленный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не приобретенный</w:t>
      </w:r>
      <w:r>
        <w:rPr>
          <w:sz w:val="24"/>
          <w:szCs w:val="24"/>
          <w:rtl w:val="0"/>
        </w:rPr>
        <w:t>)</w:t>
      </w:r>
      <w:r>
        <w:rPr>
          <w:sz w:val="24"/>
          <w:szCs w:val="24"/>
          <w:rtl w:val="0"/>
          <w:lang w:val="ru-RU"/>
        </w:rPr>
        <w:t xml:space="preserve"> в</w:t>
      </w:r>
      <w:r>
        <w:rPr>
          <w:sz w:val="24"/>
          <w:szCs w:val="24"/>
          <w:rtl w:val="0"/>
          <w:lang w:val="fr-FR"/>
        </w:rPr>
        <w:t xml:space="preserve">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при починке съемного протеза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изготовленного в другом лечебном учреждении или с истекшим сроком гарантии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прекращено лечение пациента не по инициативе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возникли осложнения по вине пациента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  <w:lang w:val="ru-RU"/>
        </w:rPr>
        <w:t>несоблюдение гигиены полости рта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невыполнение назначенного лечения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несвоевременное сообщение о возникших осложнениях и др</w:t>
      </w:r>
      <w:r>
        <w:rPr>
          <w:sz w:val="24"/>
          <w:szCs w:val="24"/>
          <w:rtl w:val="0"/>
        </w:rPr>
        <w:t xml:space="preserve">.;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возникли форс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 xml:space="preserve">мажорные обстоятельства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авария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удар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стихийное бедствие и т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п</w:t>
      </w:r>
      <w:r>
        <w:rPr>
          <w:sz w:val="24"/>
          <w:szCs w:val="24"/>
          <w:rtl w:val="0"/>
        </w:rPr>
        <w:t xml:space="preserve">.), </w:t>
      </w:r>
      <w:r>
        <w:rPr>
          <w:sz w:val="24"/>
          <w:szCs w:val="24"/>
          <w:rtl w:val="0"/>
          <w:lang w:val="ru-RU"/>
        </w:rPr>
        <w:t>способные повлиять на результаты лечения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Гарантия не распространяется</w:t>
      </w:r>
      <w:r>
        <w:rPr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spacing w:after="0"/>
        <w:ind w:firstLine="284"/>
        <w:rPr>
          <w:b w:val="1"/>
          <w:bCs w:val="1"/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 фиксацию декоративных зубных украшений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На периодонт</w:t>
      </w:r>
      <w:r>
        <w:rPr>
          <w:sz w:val="24"/>
          <w:szCs w:val="24"/>
          <w:rtl w:val="0"/>
          <w:lang w:val="ru-RU"/>
        </w:rPr>
        <w:t>олог</w:t>
      </w:r>
      <w:r>
        <w:rPr>
          <w:sz w:val="24"/>
          <w:szCs w:val="24"/>
          <w:rtl w:val="0"/>
          <w:lang w:val="ru-RU"/>
        </w:rPr>
        <w:t>ическое лечение и профессиональную гигиену полости рта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 отбеливание зубов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 лечение молочных зубов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 временное протезирование пластмассовыми коронками</w:t>
      </w:r>
      <w:r>
        <w:rPr>
          <w:sz w:val="24"/>
          <w:szCs w:val="24"/>
          <w:rtl w:val="0"/>
        </w:rPr>
        <w:t>;</w:t>
      </w:r>
    </w:p>
    <w:p>
      <w:pPr>
        <w:pStyle w:val="Normal.0"/>
        <w:spacing w:after="0"/>
        <w:rPr>
          <w:sz w:val="24"/>
          <w:szCs w:val="24"/>
          <w:lang w:val="ru-RU"/>
        </w:rPr>
      </w:pPr>
    </w:p>
    <w:p>
      <w:pPr>
        <w:pStyle w:val="Normal.0"/>
        <w:spacing w:after="0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sz w:val="24"/>
          <w:szCs w:val="24"/>
          <w:lang w:val="ru-RU"/>
        </w:rPr>
      </w:pP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6"/>
        <w:gridCol w:w="2410"/>
        <w:gridCol w:w="2375"/>
      </w:tblGrid>
      <w:tr>
        <w:tblPrEx>
          <w:shd w:val="clear" w:color="auto" w:fill="ced7e7"/>
        </w:tblPrEx>
        <w:trPr>
          <w:trHeight w:val="794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Виды работ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Срок гарантии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Средний срок службы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*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Терапевтическая стоматология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Пломба из композиционного материала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3-5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Пломба из стеклоиномерного цемента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Ортопедическая стоматология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Вкладка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накладка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коронка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винир керамический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5-10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Коронка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мостовидный протез из диоксида циркония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5-10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Временные коронки из пластмассы </w:t>
            </w: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CAD/CAM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без гарантии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Коронки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мостовидные протезы цельнометаллические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3-5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Мостовидные протезы и коронки металлокерамические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3-5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Коронки на имплантах временные пластмассовые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без гарантии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года 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Коронки на имплантах керамические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циркониевые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5-10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лет</w:t>
            </w:r>
          </w:p>
        </w:tc>
      </w:tr>
      <w:tr>
        <w:tblPrEx>
          <w:shd w:val="clear" w:color="auto" w:fill="ced7e7"/>
        </w:tblPrEx>
        <w:trPr>
          <w:trHeight w:val="371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Бюгельные протезы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3-4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371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Пластмассовые протезы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2-3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371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Адгезивные протезы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шины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</w:tr>
    </w:tbl>
    <w:p>
      <w:pPr>
        <w:pStyle w:val="Normal.0"/>
        <w:widowControl w:val="0"/>
        <w:spacing w:after="0" w:line="240" w:lineRule="auto"/>
        <w:rPr>
          <w:sz w:val="24"/>
          <w:szCs w:val="24"/>
          <w:lang w:val="ru-RU"/>
        </w:rPr>
      </w:pPr>
    </w:p>
    <w:p>
      <w:pPr>
        <w:pStyle w:val="Normal.0"/>
        <w:spacing w:after="0"/>
        <w:ind w:firstLine="284"/>
        <w:rPr>
          <w:b w:val="1"/>
          <w:bCs w:val="1"/>
          <w:lang w:val="ru-RU"/>
        </w:rPr>
      </w:pPr>
    </w:p>
    <w:p>
      <w:pPr>
        <w:pStyle w:val="Normal.0"/>
        <w:spacing w:after="0"/>
        <w:ind w:firstLine="284"/>
        <w:rPr>
          <w:b w:val="1"/>
          <w:bCs w:val="1"/>
        </w:rPr>
      </w:pPr>
      <w:r>
        <w:rPr>
          <w:b w:val="1"/>
          <w:bCs w:val="1"/>
          <w:rtl w:val="0"/>
        </w:rPr>
        <w:t xml:space="preserve">* </w:t>
      </w:r>
      <w:r>
        <w:rPr>
          <w:b w:val="1"/>
          <w:bCs w:val="1"/>
          <w:rtl w:val="0"/>
          <w:lang w:val="ru-RU"/>
        </w:rPr>
        <w:t>зависит от соблюдения пациентом всех правил гигиены и периодичности осмотра и ухода за полостью рта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При их соблюдении и отсутствия хронических заболеваний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ускоряющих процесс разрушения зубных тканей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практически и клинически доказано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что керамические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  <w:lang w:val="ru-RU"/>
        </w:rPr>
        <w:t>без содержания металла</w:t>
      </w:r>
      <w:r>
        <w:rPr>
          <w:b w:val="1"/>
          <w:bCs w:val="1"/>
          <w:rtl w:val="0"/>
        </w:rPr>
        <w:t xml:space="preserve">) </w:t>
      </w:r>
      <w:r>
        <w:rPr>
          <w:b w:val="1"/>
          <w:bCs w:val="1"/>
          <w:rtl w:val="0"/>
          <w:lang w:val="ru-RU"/>
        </w:rPr>
        <w:t xml:space="preserve">конструкции могут исправно служить до </w:t>
      </w:r>
      <w:r>
        <w:rPr>
          <w:b w:val="1"/>
          <w:bCs w:val="1"/>
          <w:rtl w:val="0"/>
        </w:rPr>
        <w:t xml:space="preserve">20 </w:t>
      </w:r>
      <w:r>
        <w:rPr>
          <w:b w:val="1"/>
          <w:bCs w:val="1"/>
          <w:rtl w:val="0"/>
          <w:lang w:val="ru-RU"/>
        </w:rPr>
        <w:t>и более лет</w:t>
      </w:r>
      <w:r>
        <w:rPr>
          <w:b w:val="1"/>
          <w:bCs w:val="1"/>
          <w:rtl w:val="0"/>
        </w:rPr>
        <w:t>.</w:t>
      </w:r>
    </w:p>
    <w:p>
      <w:pPr>
        <w:pStyle w:val="Normal.0"/>
        <w:spacing w:after="0"/>
        <w:ind w:firstLine="284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Примечание</w:t>
      </w:r>
      <w:r>
        <w:rPr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14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Гарантия распространяется на конкретный объект</w:t>
      </w:r>
      <w:r>
        <w:rPr>
          <w:sz w:val="24"/>
          <w:szCs w:val="24"/>
          <w:rtl w:val="0"/>
        </w:rPr>
        <w:t xml:space="preserve">: </w:t>
      </w:r>
    </w:p>
    <w:p>
      <w:pPr>
        <w:pStyle w:val="List Paragraph"/>
        <w:numPr>
          <w:ilvl w:val="0"/>
          <w:numId w:val="1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На восстановление коронковой части при использовании штифтовых конструкций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стекловолоконных и анкерных штифтов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без дальнейшего протезирования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 первичное лечение корневых каналов при возможности полной проходимости и постоянного пломбирования корневых каналов гуттаперчивыми штифтами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1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На отсутствие разрушения пломбы при лечении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перелечивании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 xml:space="preserve">зубов дается гарантия на пломбу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в т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с использованием штифта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без необходимости дальнейшего протезирования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spacing w:after="0"/>
        <w:ind w:left="704" w:firstLine="0"/>
        <w:rPr>
          <w:sz w:val="24"/>
          <w:szCs w:val="24"/>
          <w:lang w:val="ru-RU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   </w:t>
      </w:r>
      <w:r>
        <w:rPr>
          <w:sz w:val="24"/>
          <w:szCs w:val="24"/>
          <w:rtl w:val="0"/>
        </w:rPr>
        <w:t xml:space="preserve"> 2. </w:t>
      </w:r>
      <w:r>
        <w:rPr>
          <w:sz w:val="24"/>
          <w:szCs w:val="24"/>
          <w:rtl w:val="0"/>
          <w:lang w:val="ru-RU"/>
        </w:rPr>
        <w:t xml:space="preserve">Подтверждением качества выполненной работы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оказанной услуги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и не наступлением гарантийного случая является следующее</w:t>
      </w:r>
      <w:r>
        <w:rPr>
          <w:sz w:val="24"/>
          <w:szCs w:val="24"/>
          <w:rtl w:val="0"/>
        </w:rPr>
        <w:t xml:space="preserve">: </w:t>
      </w: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Поставленная пломба не разрушается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 выпадает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 xml:space="preserve">Возможно изменение цвета на один тон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в сторону осветления или потемнения</w:t>
      </w:r>
      <w:r>
        <w:rPr>
          <w:sz w:val="24"/>
          <w:szCs w:val="24"/>
          <w:rtl w:val="0"/>
        </w:rPr>
        <w:t xml:space="preserve">), </w:t>
      </w:r>
      <w:r>
        <w:rPr>
          <w:sz w:val="24"/>
          <w:szCs w:val="24"/>
          <w:rtl w:val="0"/>
          <w:lang w:val="ru-RU"/>
        </w:rPr>
        <w:t>что корректируется врачом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 xml:space="preserve">стоматологом при контрольном осмотре </w:t>
      </w: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При лечении кариеса приостанавливается разрушение зуба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не возникает вторичного кариеса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черной полосы вокруг пломбы</w:t>
      </w:r>
      <w:r>
        <w:rPr>
          <w:sz w:val="24"/>
          <w:szCs w:val="24"/>
          <w:rtl w:val="0"/>
        </w:rPr>
        <w:t>).</w:t>
      </w:r>
    </w:p>
    <w:p>
      <w:pPr>
        <w:pStyle w:val="List Paragraph"/>
        <w:spacing w:after="0"/>
        <w:rPr>
          <w:sz w:val="24"/>
          <w:szCs w:val="24"/>
          <w:lang w:val="ru-RU"/>
        </w:rPr>
      </w:pPr>
    </w:p>
    <w:p>
      <w:pPr>
        <w:pStyle w:val="List Paragraph"/>
        <w:spacing w:after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Сокращенная гарантия</w:t>
      </w:r>
      <w:r>
        <w:rPr>
          <w:b w:val="1"/>
          <w:bCs w:val="1"/>
          <w:sz w:val="24"/>
          <w:szCs w:val="24"/>
          <w:rtl w:val="0"/>
        </w:rPr>
        <w:t xml:space="preserve">. </w:t>
      </w:r>
      <w:r>
        <w:rPr>
          <w:b w:val="1"/>
          <w:bCs w:val="1"/>
          <w:sz w:val="24"/>
          <w:szCs w:val="24"/>
          <w:rtl w:val="0"/>
          <w:lang w:val="ru-RU"/>
        </w:rPr>
        <w:t>Не предоставление гарантии</w:t>
      </w:r>
      <w:r>
        <w:rPr>
          <w:b w:val="1"/>
          <w:bCs w:val="1"/>
          <w:sz w:val="24"/>
          <w:szCs w:val="24"/>
          <w:rtl w:val="0"/>
        </w:rPr>
        <w:t>.</w:t>
      </w:r>
    </w:p>
    <w:p>
      <w:pPr>
        <w:pStyle w:val="List Paragraph"/>
        <w:spacing w:after="0"/>
        <w:rPr>
          <w:b w:val="1"/>
          <w:bCs w:val="1"/>
          <w:sz w:val="24"/>
          <w:szCs w:val="24"/>
          <w:lang w:val="ru-RU"/>
        </w:rPr>
      </w:pPr>
    </w:p>
    <w:p>
      <w:pPr>
        <w:pStyle w:val="List Paragraph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Ввиду того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что предметом договора является оказание медицинских услуг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где результат во многом зависит от физиолого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биологических особенностей организма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учитывая трудности четкого прогноза результата лечения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возможно предоставление сокращенной гарантии в следующих случаях</w:t>
      </w:r>
      <w:r>
        <w:rPr>
          <w:sz w:val="24"/>
          <w:szCs w:val="24"/>
          <w:rtl w:val="0"/>
        </w:rPr>
        <w:t>:</w:t>
      </w:r>
    </w:p>
    <w:p>
      <w:pPr>
        <w:pStyle w:val="List Paragraph"/>
        <w:spacing w:after="0"/>
        <w:ind w:left="0" w:firstLine="720"/>
        <w:rPr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20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Гарантия на срок </w:t>
      </w:r>
      <w:r>
        <w:rPr>
          <w:sz w:val="24"/>
          <w:szCs w:val="24"/>
          <w:rtl w:val="0"/>
        </w:rPr>
        <w:t xml:space="preserve">3 </w:t>
      </w:r>
      <w:r>
        <w:rPr>
          <w:sz w:val="24"/>
          <w:szCs w:val="24"/>
          <w:rtl w:val="0"/>
          <w:lang w:val="ru-RU"/>
        </w:rPr>
        <w:t>месяца предоставляется при лечении зуба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имеющего прямые показания для дальнейшего протезирования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покрытия ортопедической коронкой</w:t>
      </w:r>
      <w:r>
        <w:rPr>
          <w:sz w:val="24"/>
          <w:szCs w:val="24"/>
          <w:rtl w:val="0"/>
          <w:lang w:val="it-IT"/>
        </w:rPr>
        <w:t xml:space="preserve">); </w:t>
      </w:r>
    </w:p>
    <w:p>
      <w:pPr>
        <w:pStyle w:val="List Paragraph"/>
        <w:numPr>
          <w:ilvl w:val="0"/>
          <w:numId w:val="2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Гарантия не предоставляется при повторном лечении корневых каналов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эндодонтическом лечении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и невозможности проходимости корневых каналов по причинам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  <w:lang w:val="ru-RU"/>
        </w:rPr>
        <w:t>сильной кривизны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невозможность полной распломбировки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частичной возможности прохождения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нет возможности пройти часть канала на необходимую длину</w:t>
      </w:r>
      <w:r>
        <w:rPr>
          <w:sz w:val="24"/>
          <w:szCs w:val="24"/>
          <w:rtl w:val="0"/>
        </w:rPr>
        <w:t xml:space="preserve">). </w:t>
      </w:r>
      <w:r>
        <w:rPr>
          <w:sz w:val="24"/>
          <w:szCs w:val="24"/>
          <w:rtl w:val="0"/>
          <w:lang w:val="ru-RU"/>
        </w:rPr>
        <w:t>В этом случае гарантия на пломбу не может быть предоставлена в полном объеме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то есть на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</w:rPr>
        <w:t>год</w:t>
      </w:r>
      <w:r>
        <w:rPr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0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Гарантия не предоставляется на извлечение скрытых обломков инструментов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закрытие перфорации стенки корневого канала при лечении не в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20"/>
        </w:numPr>
        <w:bidi w:val="0"/>
        <w:spacing w:after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0"/>
          <w:bCs w:val="0"/>
          <w:sz w:val="24"/>
          <w:szCs w:val="24"/>
          <w:rtl w:val="0"/>
          <w:lang w:val="ru-RU"/>
        </w:rPr>
        <w:t xml:space="preserve">Гарантия не предоставляется на пломбу при разрушении более </w:t>
      </w:r>
      <w:r>
        <w:rPr>
          <w:b w:val="0"/>
          <w:bCs w:val="0"/>
          <w:sz w:val="24"/>
          <w:szCs w:val="24"/>
          <w:rtl w:val="0"/>
        </w:rPr>
        <w:t>1</w:t>
      </w:r>
      <w:r>
        <w:rPr>
          <w:b w:val="0"/>
          <w:bCs w:val="0"/>
          <w:sz w:val="24"/>
          <w:szCs w:val="24"/>
          <w:rtl w:val="0"/>
          <w:lang w:val="ru-RU"/>
        </w:rPr>
        <w:t>/</w:t>
      </w:r>
      <w:r>
        <w:rPr>
          <w:b w:val="0"/>
          <w:bCs w:val="0"/>
          <w:sz w:val="24"/>
          <w:szCs w:val="24"/>
          <w:rtl w:val="0"/>
        </w:rPr>
        <w:t xml:space="preserve">2 </w:t>
      </w:r>
      <w:r>
        <w:rPr>
          <w:b w:val="0"/>
          <w:bCs w:val="0"/>
          <w:sz w:val="24"/>
          <w:szCs w:val="24"/>
          <w:rtl w:val="0"/>
        </w:rPr>
        <w:t>объема зуба</w:t>
      </w:r>
      <w:r>
        <w:rPr>
          <w:b w:val="0"/>
          <w:bCs w:val="0"/>
          <w:sz w:val="24"/>
          <w:szCs w:val="24"/>
          <w:rtl w:val="0"/>
        </w:rPr>
        <w:t xml:space="preserve">. </w:t>
      </w:r>
      <w:r>
        <w:rPr>
          <w:b w:val="0"/>
          <w:bCs w:val="0"/>
          <w:sz w:val="24"/>
          <w:szCs w:val="24"/>
          <w:rtl w:val="0"/>
          <w:lang w:val="ru-RU"/>
        </w:rPr>
        <w:t>Это является показанием к протезированию</w:t>
      </w:r>
      <w:r>
        <w:rPr>
          <w:b w:val="0"/>
          <w:bCs w:val="0"/>
          <w:sz w:val="24"/>
          <w:szCs w:val="24"/>
          <w:rtl w:val="0"/>
        </w:rPr>
        <w:t>.</w:t>
      </w:r>
    </w:p>
    <w:p>
      <w:pPr>
        <w:pStyle w:val="List Paragraph"/>
        <w:spacing w:after="0"/>
        <w:ind w:left="1440" w:firstLine="0"/>
        <w:rPr>
          <w:b w:val="1"/>
          <w:bCs w:val="1"/>
          <w:sz w:val="24"/>
          <w:szCs w:val="24"/>
          <w:lang w:val="ru-RU"/>
        </w:rPr>
      </w:pPr>
    </w:p>
    <w:p>
      <w:pPr>
        <w:pStyle w:val="List Paragraph"/>
        <w:spacing w:after="0"/>
        <w:ind w:left="1440" w:firstLine="0"/>
        <w:rPr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Просрочка контрольного осмотра со стороны пациента более чем на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месяц приводит к прекращению гарантии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Гарантийные сроки и сроки службы на отдельные виды работ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услуг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ввиду их специфики установить не предоставляется возможным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К ним относятся</w:t>
      </w:r>
      <w:r>
        <w:rPr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Лечение корневых каналов зуба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первичное и повторное перелечивание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при невозможности полной проходимости и постоянного пломбирования корневых каналов гуттаперчивыми штифтами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Профессиональная гигиеническая чистка зубов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Временная повязка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пломба</w:t>
      </w:r>
      <w:r>
        <w:rPr>
          <w:sz w:val="24"/>
          <w:szCs w:val="24"/>
          <w:rtl w:val="0"/>
          <w:lang w:val="it-IT"/>
        </w:rPr>
        <w:t xml:space="preserve">); 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Лечение заболеваний периодонта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Отбеливание зубов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Лечение молочных зубов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rPr>
          <w:sz w:val="24"/>
          <w:szCs w:val="24"/>
          <w:lang w:val="ru-RU"/>
        </w:rPr>
      </w:pPr>
    </w:p>
    <w:p>
      <w:pPr>
        <w:pStyle w:val="Normal.0"/>
        <w:spacing w:after="0"/>
        <w:ind w:firstLine="567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При необходимости лечения каналов после постановки пломбы при глубоком кариесе оно осуществляется за счет пациента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ind w:firstLine="567"/>
        <w:rPr>
          <w:sz w:val="24"/>
          <w:szCs w:val="24"/>
          <w:lang w:val="ru-RU"/>
        </w:rPr>
      </w:pPr>
    </w:p>
    <w:p>
      <w:pPr>
        <w:pStyle w:val="Normal.0"/>
        <w:spacing w:after="0"/>
        <w:ind w:firstLine="567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Учитывая специфику медицинских услуг качество выполненной работы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оказанной услуги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зависит от общей реакции организма и состояния здоровья пациента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положительный результат при лечении каналов составляет около </w:t>
      </w:r>
      <w:r>
        <w:rPr>
          <w:sz w:val="24"/>
          <w:szCs w:val="24"/>
          <w:rtl w:val="0"/>
        </w:rPr>
        <w:t xml:space="preserve">80% </w:t>
      </w:r>
      <w:r>
        <w:rPr>
          <w:sz w:val="24"/>
          <w:szCs w:val="24"/>
          <w:rtl w:val="0"/>
          <w:lang w:val="ru-RU"/>
        </w:rPr>
        <w:t>случаев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ind w:firstLine="567"/>
        <w:rPr>
          <w:sz w:val="24"/>
          <w:szCs w:val="24"/>
          <w:lang w:val="ru-RU"/>
        </w:rPr>
      </w:pPr>
    </w:p>
    <w:p>
      <w:pPr>
        <w:pStyle w:val="Normal.0"/>
        <w:spacing w:after="0"/>
        <w:ind w:firstLine="567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Гарантия на </w:t>
      </w:r>
      <w:r>
        <w:rPr>
          <w:b w:val="1"/>
          <w:bCs w:val="1"/>
          <w:sz w:val="24"/>
          <w:szCs w:val="24"/>
          <w:rtl w:val="0"/>
          <w:lang w:val="ru-RU"/>
        </w:rPr>
        <w:t>постоянные ортопедические</w:t>
      </w:r>
      <w:r>
        <w:rPr>
          <w:sz w:val="24"/>
          <w:szCs w:val="24"/>
          <w:rtl w:val="0"/>
          <w:lang w:val="ru-RU"/>
        </w:rPr>
        <w:t xml:space="preserve"> работы не предоставляется по следующим позициям</w:t>
      </w:r>
      <w:r>
        <w:rPr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4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Выпадение искусственных зубов из протезов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24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Перелом пластмассы протеза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24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Разрушение микрозамков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аттачментов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 xml:space="preserve">и микрозацепов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ru-RU"/>
        </w:rPr>
        <w:t>кламмеров</w:t>
      </w:r>
      <w:r>
        <w:rPr>
          <w:sz w:val="24"/>
          <w:szCs w:val="24"/>
          <w:rtl w:val="0"/>
        </w:rPr>
        <w:t>)</w:t>
      </w:r>
    </w:p>
    <w:p>
      <w:pPr>
        <w:pStyle w:val="Normal.0"/>
        <w:spacing w:after="0"/>
        <w:rPr>
          <w:sz w:val="24"/>
          <w:szCs w:val="24"/>
          <w:lang w:val="ru-RU"/>
        </w:rPr>
      </w:pPr>
    </w:p>
    <w:p>
      <w:pPr>
        <w:pStyle w:val="Normal.0"/>
        <w:spacing w:after="0"/>
        <w:ind w:firstLine="567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Временные ортопедические конструкции обязательно должны быть заменены на постоянные в указанный лечащим врачом срок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Регламентируемый срок ношения временных конструкций определяется врачом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стоматологом и обязательно должен быть доведен до сведения пациента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Если по каким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 xml:space="preserve">либо причинам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по вине пациента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  <w:lang w:val="ru-RU"/>
        </w:rPr>
        <w:t>временные конструкции не заменены на постоянные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это является основанием для прекращения гарантии и снятия ответственности с ООО «</w:t>
      </w:r>
      <w:r>
        <w:rPr>
          <w:sz w:val="24"/>
          <w:szCs w:val="24"/>
          <w:rtl w:val="0"/>
          <w:lang w:val="ru-RU"/>
        </w:rPr>
        <w:t xml:space="preserve">Студия </w:t>
      </w:r>
      <w:r>
        <w:rPr>
          <w:sz w:val="24"/>
          <w:szCs w:val="24"/>
          <w:rtl w:val="0"/>
          <w:lang w:val="ru-RU"/>
        </w:rPr>
        <w:t>32</w:t>
      </w:r>
      <w:r>
        <w:rPr>
          <w:sz w:val="24"/>
          <w:szCs w:val="24"/>
          <w:rtl w:val="0"/>
          <w:lang w:val="ru-RU"/>
        </w:rPr>
        <w:t>» за результат лечения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ind w:firstLine="567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Не позволяют дать полного гарантийного срока следующие врачебные методики протезирования при наличии следующих диагнозов или случаев</w:t>
      </w:r>
      <w:r>
        <w:rPr>
          <w:sz w:val="24"/>
          <w:szCs w:val="24"/>
          <w:rtl w:val="0"/>
        </w:rPr>
        <w:t>:</w:t>
      </w:r>
    </w:p>
    <w:p>
      <w:pPr>
        <w:pStyle w:val="Normal.0"/>
        <w:spacing w:after="0"/>
        <w:ind w:firstLine="567"/>
        <w:rPr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2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Наличие подвижности зубов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 данном случае гарантийный срок устанавливает врач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0"/>
          <w:numId w:val="26"/>
        </w:numPr>
        <w:bidi w:val="0"/>
        <w:spacing w:after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Наличие заболеваний десен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В данном случае гарантийный срок устанавливает врач в зависимости от степени тяжести заболевания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/>
        <w:rPr>
          <w:sz w:val="24"/>
          <w:szCs w:val="24"/>
          <w:lang w:val="ru-RU"/>
        </w:rPr>
      </w:pPr>
    </w:p>
    <w:p>
      <w:pPr>
        <w:pStyle w:val="Normal.0"/>
        <w:spacing w:after="0"/>
      </w:pPr>
      <w:r>
        <w:rPr>
          <w:sz w:val="24"/>
          <w:szCs w:val="24"/>
          <w:rtl w:val="0"/>
          <w:lang w:val="ru-RU"/>
        </w:rPr>
        <w:t>Гарантия не предоставляется на наличие сколов керамики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связанных с дневным и ночным бруксизмом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надкусыванием твердых предметов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случайно попавших в продукты питания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Просрочка контрольного осмотра со стороны пациента более чем на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месяц приводит к прекращению гарантии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Профилактический осмотр является мероприятием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проводимым в целях поддержания функциональности ортопедичесикх конструкций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замена матриц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перебазировка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пришлифовывание и т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п</w:t>
      </w:r>
      <w:r>
        <w:rPr>
          <w:sz w:val="24"/>
          <w:szCs w:val="24"/>
          <w:rtl w:val="0"/>
        </w:rPr>
        <w:t xml:space="preserve">.), </w:t>
      </w:r>
      <w:r>
        <w:rPr>
          <w:sz w:val="24"/>
          <w:szCs w:val="24"/>
          <w:rtl w:val="0"/>
          <w:lang w:val="ru-RU"/>
        </w:rPr>
        <w:t>и оплачивается дополнительно</w:t>
      </w:r>
      <w:r>
        <w:rPr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2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2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·"/>
      <w:lvlJc w:val="left"/>
      <w:pPr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2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·"/>
      <w:lvlJc w:val="left"/>
      <w:pPr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2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7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bullet"/>
      <w:suff w:val="tab"/>
      <w:lvlText w:val="·"/>
      <w:lvlJc w:val="left"/>
      <w:pPr>
        <w:ind w:left="12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0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44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6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8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60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04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bullet"/>
      <w:suff w:val="tab"/>
      <w:lvlText w:val="·"/>
      <w:lvlJc w:val="left"/>
      <w:pPr>
        <w:ind w:left="12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0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44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6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8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60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04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  <w:style w:type="numbering" w:styleId="Импортированный стиль 10">
    <w:name w:val="Импортированный стиль 10"/>
    <w:pPr>
      <w:numPr>
        <w:numId w:val="19"/>
      </w:numPr>
    </w:pPr>
  </w:style>
  <w:style w:type="numbering" w:styleId="Импортированный стиль 11">
    <w:name w:val="Импортированный стиль 11"/>
    <w:pPr>
      <w:numPr>
        <w:numId w:val="21"/>
      </w:numPr>
    </w:pPr>
  </w:style>
  <w:style w:type="numbering" w:styleId="Импортированный стиль 12">
    <w:name w:val="Импортированный стиль 12"/>
    <w:pPr>
      <w:numPr>
        <w:numId w:val="23"/>
      </w:numPr>
    </w:pPr>
  </w:style>
  <w:style w:type="numbering" w:styleId="Импортированный стиль 13">
    <w:name w:val="Импортированный стиль 13"/>
    <w:pPr>
      <w:numPr>
        <w:numId w:val="2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